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after="12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Potenciální a klinicky manifestované lékové interakce u pacientů přijatých k hospitalizaci: průřezová studie</w:t>
      </w:r>
    </w:p>
    <w:p>
      <w:pPr>
        <w:spacing w:after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PharmDr. Zuzana Juhásová, Ph.D., Simona Flugrová, Mgr. Simona Tomašová, PharmDr. Daniela Kafková, Mgr. Kateřina Holmanová, PharmDr. Martina Maříková, Ph.D., prof. RNDr. Jiří Vlček, CSc.</w:t>
      </w:r>
    </w:p>
    <w:p>
      <w:pPr>
        <w:spacing w:after="160" w:line="276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22"/>
          <w:szCs w:val="22"/>
        </w:rPr>
        <w:t xml:space="preserve">Katedra sociální a klinické farmacie, Farmaceutická fakulta Univerzity Karlovy v Hradci Králové</w:t>
      </w:r>
    </w:p>
    <w:p>
      <w:pPr>
        <w:spacing w:after="160" w:line="276"/>
        <w:jc w:val="both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Úvod a cíl: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Lékové interakce (LI) jsou stále častější zejména v důsledku stárnutí populace a souvisejícího nárůstu multimorbidity. Ačkoli se mnoho studií zaměřuje na potenciální LI, jen málo z nich zkoumá LI klinicky manifestované. Cílem studie bylo poskytnout informace o prevalenci a charakteristikách potenciálních a klinicky manifestovaných LI u pacientů přijatých k hospitalizaci.</w:t>
      </w:r>
    </w:p>
    <w:p>
      <w:pPr>
        <w:spacing w:after="160" w:line="276"/>
        <w:jc w:val="both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Metodika: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Ve studii byli analyzováni pacienti z naší předchozí studie,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vertAlign w:val="superscript"/>
        </w:rPr>
        <w:t xml:space="preserve">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kteří měli v anamnéze alespoň dvě léčiva. Potenciální LI byly identifikovány pomocí interakčních databází UpToDate, Micromedex a Stockleyho databáze LI. Potenciální LI byly definovány jako kombinace dvou léčiv, u nichž alespoň jedna interakční databáze uvádí střední nebo vyšší závažnost. Klinicky manifestované LI byly definovány jako ty, které byly spojeny s nežádoucími lékovými událostmi.</w:t>
      </w:r>
    </w:p>
    <w:p>
      <w:pPr>
        <w:spacing w:after="160" w:line="276"/>
        <w:jc w:val="both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Výsledky: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Celkem bylo do studie zařazeno 968 pacientů s průměrným věkem 73 let a průměrným počtem 7 léčiv v lékové anamnéze. Potenciální LI byly identifikovány u 90 % (95% CI: 88–92) pacientů. Diuretika, antikoagulancia, antitrombotika a léčiva k terapii diabetu představovala skupiny léčiv, které se nejčastěji podílely na potenciálních LI. Nejvíce potenciálních LI identifikovala databáze UpToDate (70 %), následovaná Stockleyho databází LI (62 %) a nejméně Micromedex (42 %). Klinicky manifestované LI byly identifikované u 6 % (95% CI: 5–8) pacientů, přičemž se projevovaly převážně jako gastrointestinální krvácení. Nejčastější skupinou léčiv, která se podílela na manifestovaných LI, byla antikoagulancia, antitrombotika. Nejčastější klinicky manifestovanou LI byla kombinace ASA + warfarin. Z klinicky manifestovaných LI jich nejvíce identifikovala databáze UpToDate (98 %), následovaná databází Micromedex (82 %) a Stockleyho databází LI (80 %).</w:t>
      </w:r>
    </w:p>
    <w:p>
      <w:pPr>
        <w:spacing w:after="160" w:line="276"/>
        <w:jc w:val="both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Závěr: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Ve srovnání s předchozím výzkumem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vertAlign w:val="superscript"/>
        </w:rPr>
        <w:t xml:space="preserve">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byla prevalence klinicky manifestovaných LI výrazně vyšší, což podtrhuje rostoucí význam tohoto problému. Při identifikaci potenciálních LI je nutné posoudit jejich klinickou relevanci, zhodnotit poměr přínosů a rizik interagujících léčiv a ověřit, zda probíhá minimalizace rizik, což však v této studii nebylo hodnoceno.</w:t>
      </w:r>
    </w:p>
    <w:p>
      <w:pPr>
        <w:keepNext/>
        <w:spacing w:after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Literatura</w:t>
      </w:r>
    </w:p>
    <w:p>
      <w:pPr>
        <w:tabs>
          <w:tab w:val="left" w:pos="360"/>
        </w:tabs>
        <w:spacing w:after="0" w:line="276"/>
        <w:ind w:left="360" w:hanging="36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1.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Očovská Z, Maříková M, Kočí J, Vlček J. Drug-Related Hospital Admissions via the Department of Emergency Medicine: A Cross-Sectional Study From the Czech Republic. Front Pharmacol. 2022; 13: 899151.</w:t>
      </w:r>
    </w:p>
    <w:p>
      <w:pPr>
        <w:tabs>
          <w:tab w:val="left" w:pos="360"/>
        </w:tabs>
        <w:spacing w:after="0" w:line="276"/>
        <w:ind w:left="360" w:hanging="36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2.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Dechanont S, Maphanta S, Butthum B, Kongkaew C. Hospital admissions/visits associated with drug-drug interactions: a systematic review and meta-analysis. Pharmacoepidemiol Drug Saf. 2014; 23(5): 489-497.</w:t>
      </w:r>
    </w:p>
    <w:sectPr>
      <w:pgSz w:w="11906" w:h="16838" w:orient="portrait"/>
      <w:pgMar w:top="1417" w:right="1417" w:bottom="1417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2026-08-05T08:11:22.573Z</dcterms:created>
  <dcterms:modified xsi:type="dcterms:W3CDTF">2026-08-05T08:11:22.573Z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