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/>
        <w:spacing w:after="12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4"/>
          <w:szCs w:val="24"/>
        </w:rPr>
        <w:t xml:space="preserve">Praktická ukázka z ambulance klinické farmacie – kazuistika pacienta s gynekomastií</w:t>
      </w:r>
    </w:p>
    <w:p>
      <w:pPr>
        <w:spacing w:after="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PharmDr. Hana Nováková</w:t>
      </w:r>
    </w:p>
    <w:p>
      <w:pPr>
        <w:spacing w:after="160" w:line="276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22"/>
          <w:szCs w:val="22"/>
        </w:rPr>
        <w:t xml:space="preserve">Oddělení klinické farmacie, Městská nemocnice Ostrava</w:t>
      </w:r>
    </w:p>
    <w:p>
      <w:pPr>
        <w:spacing w:after="160" w:line="276"/>
        <w:jc w:val="both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DRP: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Gynekomastie vzniklá na podkladě kombinace spironolaktonu a dutasteridu, vzájemnou potenciací stejného nežádoucího účinku obou léčiv.</w:t>
      </w:r>
    </w:p>
    <w:p>
      <w:pPr>
        <w:spacing w:after="16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Antagonista aldosteronu spironolakton je dobře znám jako lék schopný vyvolat gynekomastii u mužů, dle SmPC se jedná o velmi častý nežádoucí účinek. Pokud je spironolakton podáván v běžné denní dávce 25 mg při léčbě srdečního selhání, je jeho výskyt kolem 10 %. Pokud jsou však ve specifických indikacích podávány dávky kolem 150 mg denně, objevuje se až u 50 % pacientů. Mechanismus vzniku gynekomastie je u spironolaktonu komplexní. V patogenezi hraje roli několik mechanismů. Spironolakton snižuje produkci testosteronu ve varlatech, je antagonistou testosteronu na jeho receptorech, vyvazuje testosteron z vazby na SHBG (sex hormon binding globulin) a zvyšuje periferní aromatizaci testosteronu na estrogeny.</w:t>
      </w:r>
    </w:p>
    <w:p>
      <w:pPr>
        <w:spacing w:after="16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Dutasterid je neselektivní inhibitor izoformy I a II enzymu 5α-reduktázy, která v těle přeměňuje část testosteronu na účinnější androgen dihydrotestosteron. Při terapii benigní hyperplazie prostaty je tento efekt žádoucí, po několikaměsíční léčbě dochází ke snížení plazmatické koncentrace dihydrotestosteronu o více než 90 % a ke snížení objemu prostaty o více než 20 %, a tím ke snížení mikčních potíží. Vlivem zvýšení plazmatické koncentrace volného testosteronu se však zvyšuje jeho periferní aromatizace na estradiol, což může vyústit v gynekomastii. Dle SmPC je gynekomastie častým nežádoucím účinkem dutasteridu, avšak s frekvencí výskytu do 2 %, tedy objevuje se v daleko nižší míře než u spironolaktonu.</w:t>
      </w:r>
    </w:p>
    <w:p>
      <w:pPr>
        <w:spacing w:after="16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V prezentaci bude rozebrán kazuistický případ seniora, kterému byl pro gynekomastii trvající tři měsíce v červnu tohoto roku vysazen praktickou lékařkou spironolakton, po dvou týdnech však nedošlo ke zlepšení. Proto byl pacient začátkem července odeslán do Ambulance klinické farmacie Městské nemocnice Ostrava k posouzení jiné možné polékové příčiny. Díky vynikající mezioborové spolupráci se podařilo pacienta zcela zbavit gynekomastie do začátku srpna. Racionalizací chronické medikace, která bude diskutována v kazuistickém sdělení, jsme se především snažili o celkové zlepšení kvality života křehkého seniora.</w:t>
      </w:r>
    </w:p>
    <w:p>
      <w:pPr>
        <w:keepNext/>
        <w:spacing w:after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Literatura</w:t>
      </w:r>
    </w:p>
    <w:p>
      <w:pPr>
        <w:tabs>
          <w:tab w:val="left" w:pos="360"/>
        </w:tabs>
        <w:spacing w:after="0" w:line="276"/>
        <w:ind w:left="360" w:hanging="36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1.</w:t>
      </w:r>
      <w:r>
        <w:rPr>
          <w:rFonts w:ascii="Calibri" w:cs="Calibri" w:eastAsia="Calibri" w:hAnsi="Calibri"/>
          <w:sz w:val="20"/>
          <w:szCs w:val="20"/>
        </w:rPr>
        <w:t xml:space="preserve">	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Bobek D, Šíma M, Slanař O. Gynekomastie jako nežádoucí účinek léčiv. Prakt lékáren. 2021; 17(3): 147-149.</w:t>
      </w:r>
    </w:p>
    <w:p>
      <w:pPr>
        <w:tabs>
          <w:tab w:val="left" w:pos="360"/>
        </w:tabs>
        <w:spacing w:after="0" w:line="276"/>
        <w:ind w:left="360" w:hanging="36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2.</w:t>
      </w:r>
      <w:r>
        <w:rPr>
          <w:rFonts w:ascii="Calibri" w:cs="Calibri" w:eastAsia="Calibri" w:hAnsi="Calibri"/>
          <w:sz w:val="20"/>
          <w:szCs w:val="20"/>
        </w:rPr>
        <w:t xml:space="preserve">	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Souhrn údajů o přípravku. Verospiron 25 mg tablety. Datum revize textu: 7. 6. 2022 [citováno 9. 11. 2023]. Nahlédnuto přes: </w:t>
      </w:r>
      <w:hyperlink w:history="1" r:id="rId4sb_vrvzpamrg5sqieogs">
        <w:r>
          <w:rPr>
            <w:rFonts w:ascii="Calibri" w:cs="Calibri" w:eastAsia="Calibri" w:hAnsi="Calibri"/>
            <w:color w:val="0563C1"/>
            <w:sz w:val="20"/>
            <w:szCs w:val="20"/>
            <w:u w:val="single"/>
          </w:rPr>
          <w:t xml:space="preserve">www.sukl.cz09/11/2023</w:t>
        </w:r>
      </w:hyperlink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.</w:t>
      </w:r>
    </w:p>
    <w:p>
      <w:pPr>
        <w:tabs>
          <w:tab w:val="left" w:pos="360"/>
        </w:tabs>
        <w:spacing w:after="0" w:line="276"/>
        <w:ind w:left="360" w:hanging="36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3.</w:t>
      </w:r>
      <w:r>
        <w:rPr>
          <w:rFonts w:ascii="Calibri" w:cs="Calibri" w:eastAsia="Calibri" w:hAnsi="Calibri"/>
          <w:sz w:val="20"/>
          <w:szCs w:val="20"/>
        </w:rPr>
        <w:t xml:space="preserve">	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Souhrn údajů o přípravku. Dutrozen 0,5 mg/0,4 mg tvrdé tobolky. Datum revize textu: 31. 3. 2020 [citováno 9. 11. 2025]. Nahlédnuto přes: </w:t>
      </w:r>
      <w:hyperlink w:history="1" r:id="rIdyu_yhet1rsbnxk08yu8l-">
        <w:r>
          <w:rPr>
            <w:rFonts w:ascii="Calibri" w:cs="Calibri" w:eastAsia="Calibri" w:hAnsi="Calibri"/>
            <w:color w:val="0563C1"/>
            <w:sz w:val="20"/>
            <w:szCs w:val="20"/>
            <w:u w:val="single"/>
          </w:rPr>
          <w:t xml:space="preserve">www.sukl.cz09/11/2023</w:t>
        </w:r>
      </w:hyperlink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.</w:t>
      </w:r>
    </w:p>
    <w:p>
      <w:pPr>
        <w:tabs>
          <w:tab w:val="left" w:pos="360"/>
        </w:tabs>
        <w:spacing w:after="0" w:line="276"/>
        <w:ind w:left="360" w:hanging="36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4.</w:t>
      </w:r>
      <w:r>
        <w:rPr>
          <w:rFonts w:ascii="Calibri" w:cs="Calibri" w:eastAsia="Calibri" w:hAnsi="Calibri"/>
          <w:sz w:val="20"/>
          <w:szCs w:val="20"/>
        </w:rPr>
        <w:t xml:space="preserve">	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UpToDate©, Lexicomp® Drug information, Wolters Kluwer. Dutasteride [citováno 09. 11. 2023]. Dostupné z: </w:t>
      </w:r>
      <w:hyperlink w:history="1" r:id="rId3l9lg3o2ehyex29s0npqv">
        <w:r>
          <w:rPr>
            <w:rFonts w:ascii="Calibri" w:cs="Calibri" w:eastAsia="Calibri" w:hAnsi="Calibri"/>
            <w:color w:val="0563C1"/>
            <w:sz w:val="20"/>
            <w:szCs w:val="20"/>
            <w:u w:val="single"/>
          </w:rPr>
          <w:t xml:space="preserve">https://www.uptodate.com/contents/dutasteride-drug-information</w:t>
        </w:r>
      </w:hyperlink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.</w:t>
      </w:r>
    </w:p>
    <w:sectPr>
      <w:pgSz w:w="11906" w:h="16838" w:orient="portrait"/>
      <w:pgMar w:top="1417" w:right="1417" w:bottom="1417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4sb_vrvzpamrg5sqieogs" Type="http://schemas.openxmlformats.org/officeDocument/2006/relationships/hyperlink" Target="https://www.sukl.cz" TargetMode="External"/><Relationship Id="rIdyu_yhet1rsbnxk08yu8l-" Type="http://schemas.openxmlformats.org/officeDocument/2006/relationships/hyperlink" Target="https://www.sukl.cz" TargetMode="External"/><Relationship Id="rId3l9lg3o2ehyex29s0npqv" Type="http://schemas.openxmlformats.org/officeDocument/2006/relationships/hyperlink" Target="https://www.uptodate.com/contents/dutasteride-drug-information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2026-08-05T08:11:22.594Z</dcterms:created>
  <dcterms:modified xsi:type="dcterms:W3CDTF">2026-08-05T08:11:22.594Z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