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06" w:rsidRPr="00120CFD" w:rsidRDefault="001A2306" w:rsidP="00120CFD">
      <w:pPr>
        <w:pStyle w:val="Normlnweb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120CFD">
        <w:rPr>
          <w:b/>
          <w:u w:val="single"/>
        </w:rPr>
        <w:t>Nově zařazená úhrada přístroje CoughAssi</w:t>
      </w:r>
      <w:r w:rsidR="00861BAD">
        <w:rPr>
          <w:b/>
          <w:u w:val="single"/>
        </w:rPr>
        <w:t>s</w:t>
      </w:r>
      <w:r w:rsidRPr="00120CFD">
        <w:rPr>
          <w:b/>
          <w:u w:val="single"/>
        </w:rPr>
        <w:t>t pro pacienty VZP</w:t>
      </w:r>
    </w:p>
    <w:p w:rsidR="00120CFD" w:rsidRDefault="00120CFD" w:rsidP="00120CFD">
      <w:pPr>
        <w:pStyle w:val="Normlnweb"/>
        <w:spacing w:before="0" w:beforeAutospacing="0" w:after="0" w:afterAutospacing="0" w:line="360" w:lineRule="auto"/>
        <w:ind w:firstLine="284"/>
        <w:jc w:val="both"/>
      </w:pPr>
    </w:p>
    <w:p w:rsidR="001A2306" w:rsidRPr="001A2306" w:rsidRDefault="001A2306" w:rsidP="00120CFD">
      <w:pPr>
        <w:pStyle w:val="Normlnweb"/>
        <w:spacing w:before="0" w:beforeAutospacing="0" w:after="0" w:afterAutospacing="0" w:line="360" w:lineRule="auto"/>
        <w:ind w:firstLine="284"/>
        <w:jc w:val="both"/>
      </w:pPr>
      <w:r w:rsidRPr="001A2306">
        <w:t xml:space="preserve">Od 1. 2. 2017 je platný kód </w:t>
      </w:r>
      <w:r w:rsidRPr="001A2306">
        <w:rPr>
          <w:b/>
          <w:bCs/>
        </w:rPr>
        <w:t>0171665 – Asistent kašle (přístroj CoughAssist)</w:t>
      </w:r>
      <w:r w:rsidRPr="001A2306">
        <w:t>. Úhrada z prostředků VZP činí 75 % z celkové ceny přístroje. Indikační kritéria jsou uvedena v Metodice k Úhradovému katalogu VZP – ZP. Indikační kritéria jsou obsažena také v Doporučeném postupu pro indikaci dlouhodobé domácí terapie pomocí mechanické insuflace/exsuflace s využitím přístroje CoughAssist.</w:t>
      </w:r>
    </w:p>
    <w:p w:rsidR="001A2306" w:rsidRPr="001A2306" w:rsidRDefault="001A2306" w:rsidP="00120CFD">
      <w:pPr>
        <w:pStyle w:val="Normlnweb"/>
        <w:spacing w:before="0" w:beforeAutospacing="0" w:after="0" w:afterAutospacing="0" w:line="360" w:lineRule="auto"/>
        <w:ind w:firstLine="284"/>
        <w:jc w:val="both"/>
      </w:pPr>
      <w:r w:rsidRPr="001A2306">
        <w:t>Zároveň je nově zařazen kód 0171800 totožn</w:t>
      </w:r>
      <w:bookmarkStart w:id="0" w:name="_GoBack"/>
      <w:bookmarkEnd w:id="0"/>
      <w:r w:rsidRPr="001A2306">
        <w:t xml:space="preserve">ého ZP Asistent kašle bez indikačních kritérií. U jiných klinických situací než těch, které jsou uvedeny v Metodice k Úhradovému katalogu VZP – ZP u kódu 0171665, je ZP </w:t>
      </w:r>
      <w:proofErr w:type="spellStart"/>
      <w:r w:rsidRPr="001A2306">
        <w:t>kašlací</w:t>
      </w:r>
      <w:proofErr w:type="spellEnd"/>
      <w:r w:rsidRPr="001A2306">
        <w:t xml:space="preserve"> asistent hrazen maximálně do výše 3 462,- Kč. Oba uvedené kódy podléhají schválení revizním lékařem a lze je předepsat na následujících pracovištích:</w:t>
      </w:r>
    </w:p>
    <w:p w:rsidR="001A2306" w:rsidRPr="001A2306" w:rsidRDefault="001A2306" w:rsidP="00120C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Pracoviště indikující pro dospělé pacienty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Pneumologická klinika 2. LF UK a FN Motol, Praha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Neurologická klinika, VFN, Praha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Pneumologická klinika 1. LF UK/TN, Thomayerova nemocnice, Praha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Plicní klinika, FN Hradec Králové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Klinika pneumologie a ftizeologie, FN Plzeň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Léčebna TBC a resp. onemocnění, Nemocnice České Budějovice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Klinika plicních nemocí a TBC, FN Olomouc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Klinika nemocí plicních a TBC, FN Brno</w:t>
      </w:r>
    </w:p>
    <w:p w:rsidR="001A2306" w:rsidRPr="001A2306" w:rsidRDefault="001A2306" w:rsidP="00120CFD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 xml:space="preserve">Plicní oddělení, </w:t>
      </w:r>
      <w:proofErr w:type="spellStart"/>
      <w:r w:rsidRPr="001A2306">
        <w:rPr>
          <w:rFonts w:ascii="Times New Roman" w:hAnsi="Times New Roman" w:cs="Times New Roman"/>
          <w:sz w:val="24"/>
          <w:szCs w:val="24"/>
        </w:rPr>
        <w:t>Mepha</w:t>
      </w:r>
      <w:proofErr w:type="spellEnd"/>
      <w:r w:rsidRPr="001A2306">
        <w:rPr>
          <w:rFonts w:ascii="Times New Roman" w:hAnsi="Times New Roman" w:cs="Times New Roman"/>
          <w:sz w:val="24"/>
          <w:szCs w:val="24"/>
        </w:rPr>
        <w:t xml:space="preserve"> Centrum, Ostrava</w:t>
      </w:r>
    </w:p>
    <w:p w:rsidR="001A2306" w:rsidRPr="001A2306" w:rsidRDefault="001A2306" w:rsidP="00120CF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Pracoviště indikující pro dětské pacienty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Dětská klinika, FN Motol, Praha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Dětská klinika, FN Hradec Králové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Dětská klinika, FN Plzeň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Dětská klinika, MN Ústí nad Labem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sz w:val="24"/>
          <w:szCs w:val="24"/>
        </w:rPr>
        <w:t>Dětské oddělení, Nemocnice České Budějovice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hAnsi="Times New Roman" w:cs="Times New Roman"/>
          <w:bCs/>
          <w:sz w:val="24"/>
          <w:szCs w:val="24"/>
        </w:rPr>
        <w:t>Dětská klinika, FN Olomouc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1A23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Klinika dětské anesteziologie a resuscitace, FN Brno</w:t>
      </w:r>
    </w:p>
    <w:p w:rsidR="001A2306" w:rsidRPr="001A2306" w:rsidRDefault="001A2306" w:rsidP="00120CFD">
      <w:pPr>
        <w:pStyle w:val="Odstavecseseznamem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A23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Klinika dětské neurologie, FN Brno</w:t>
      </w:r>
    </w:p>
    <w:p w:rsidR="001A2306" w:rsidRPr="001A2306" w:rsidRDefault="000A6729" w:rsidP="00120CFD">
      <w:pPr>
        <w:pStyle w:val="Odstavecseseznamem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lékařství</w:t>
      </w:r>
      <w:r w:rsidR="001A2306" w:rsidRPr="001A2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Městská nemocnice</w:t>
      </w:r>
      <w:r w:rsidR="001A2306" w:rsidRPr="001A2306">
        <w:rPr>
          <w:rFonts w:ascii="Times New Roman" w:hAnsi="Times New Roman" w:cs="Times New Roman"/>
          <w:sz w:val="24"/>
          <w:szCs w:val="24"/>
        </w:rPr>
        <w:t xml:space="preserve"> Ostrava</w:t>
      </w:r>
    </w:p>
    <w:p w:rsidR="001A2306" w:rsidRPr="001A2306" w:rsidRDefault="001A2306" w:rsidP="00120CFD">
      <w:pPr>
        <w:pStyle w:val="Normlnweb"/>
        <w:spacing w:before="0" w:beforeAutospacing="0" w:after="0" w:afterAutospacing="0" w:line="360" w:lineRule="auto"/>
        <w:jc w:val="both"/>
      </w:pPr>
    </w:p>
    <w:p w:rsidR="001A2306" w:rsidRPr="001A2306" w:rsidRDefault="001A2306" w:rsidP="00120CFD">
      <w:pPr>
        <w:pStyle w:val="Normlnweb"/>
        <w:spacing w:before="0" w:beforeAutospacing="0" w:after="0" w:afterAutospacing="0" w:line="360" w:lineRule="auto"/>
        <w:ind w:firstLine="284"/>
        <w:jc w:val="both"/>
      </w:pPr>
      <w:r w:rsidRPr="001A2306">
        <w:lastRenderedPageBreak/>
        <w:t>K přístroji bude hrazen i spotřební materiál (12 pacientských okruhů za rok), nicméně ke spotřebnímu materiálu zatím není kód a není zahrnuto v Úhradovém katalogu. VZP nyní oslovila dodavatele pacientských okruhů s výzvou k podání žádosti o zařazení do Úhradového katalogu VZP – ZP. Po jejím dodání proběhne kontrola formálních náležitostí dokumentace a v případě, že budou splněny všechny požadavky na tuto dokumentaci, dojde k zařazení pacientského okruhu do Úhradového katalogu VZP – ZP a jeho úhradě z prostředků veřejného zdravotního pojištění (dle platné legislativy 75 % z ekonomicky nejméně náročné varianty).</w:t>
      </w:r>
    </w:p>
    <w:p w:rsidR="001A2306" w:rsidRPr="001A2306" w:rsidRDefault="001A2306" w:rsidP="00120CFD">
      <w:pPr>
        <w:pStyle w:val="Normlnweb"/>
        <w:spacing w:before="0" w:beforeAutospacing="0" w:after="0" w:afterAutospacing="0" w:line="360" w:lineRule="auto"/>
        <w:jc w:val="both"/>
      </w:pPr>
    </w:p>
    <w:p w:rsidR="00A473BA" w:rsidRPr="001A2306" w:rsidRDefault="00A473BA" w:rsidP="00120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3BA" w:rsidRPr="001A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5725"/>
    <w:multiLevelType w:val="hybridMultilevel"/>
    <w:tmpl w:val="FC54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5DAF"/>
    <w:multiLevelType w:val="hybridMultilevel"/>
    <w:tmpl w:val="BE9AB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6"/>
    <w:rsid w:val="000A6729"/>
    <w:rsid w:val="00120CFD"/>
    <w:rsid w:val="001A2306"/>
    <w:rsid w:val="00861BAD"/>
    <w:rsid w:val="00A473BA"/>
    <w:rsid w:val="00C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1054-5FD3-49E9-B9F1-E869110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Neumannová</dc:creator>
  <cp:lastModifiedBy>Rudolf Kinc</cp:lastModifiedBy>
  <cp:revision>2</cp:revision>
  <dcterms:created xsi:type="dcterms:W3CDTF">2017-02-24T08:20:00Z</dcterms:created>
  <dcterms:modified xsi:type="dcterms:W3CDTF">2017-02-24T08:20:00Z</dcterms:modified>
</cp:coreProperties>
</file>