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96A" w14:textId="6F9DB681" w:rsidR="006A2C9F" w:rsidRDefault="006A2C9F" w:rsidP="002420CF">
      <w:pPr>
        <w:pStyle w:val="Nadpis2"/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ext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převzatý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z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knihy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Dětská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pneumologie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 2.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vydání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, Grada, Praha 2023</w:t>
      </w:r>
    </w:p>
    <w:p w14:paraId="55583BC9" w14:textId="7221BA5D" w:rsidR="002420CF" w:rsidRPr="002420CF" w:rsidRDefault="002420CF" w:rsidP="002420CF">
      <w:pPr>
        <w:pStyle w:val="Nadpis2"/>
      </w:pPr>
      <w:proofErr w:type="spellStart"/>
      <w:r w:rsidRPr="002420CF">
        <w:t>Antidopingová</w:t>
      </w:r>
      <w:proofErr w:type="spellEnd"/>
      <w:r w:rsidRPr="002420CF">
        <w:t xml:space="preserve"> </w:t>
      </w:r>
      <w:proofErr w:type="spellStart"/>
      <w:r w:rsidRPr="002420CF">
        <w:t>pravidla</w:t>
      </w:r>
      <w:proofErr w:type="spellEnd"/>
      <w:r w:rsidRPr="002420CF">
        <w:t xml:space="preserve"> s </w:t>
      </w:r>
      <w:proofErr w:type="spellStart"/>
      <w:r w:rsidRPr="002420CF">
        <w:t>ohledem</w:t>
      </w:r>
      <w:proofErr w:type="spellEnd"/>
      <w:r w:rsidRPr="002420CF">
        <w:t xml:space="preserve"> </w:t>
      </w:r>
      <w:proofErr w:type="spellStart"/>
      <w:r w:rsidRPr="002420CF">
        <w:t>na</w:t>
      </w:r>
      <w:proofErr w:type="spellEnd"/>
      <w:r w:rsidRPr="002420CF">
        <w:t xml:space="preserve"> </w:t>
      </w:r>
      <w:proofErr w:type="spellStart"/>
      <w:r w:rsidRPr="002420CF">
        <w:t>terapii</w:t>
      </w:r>
      <w:proofErr w:type="spellEnd"/>
      <w:r w:rsidRPr="002420CF">
        <w:t xml:space="preserve"> </w:t>
      </w:r>
      <w:proofErr w:type="spellStart"/>
      <w:r w:rsidRPr="002420CF">
        <w:t>respiračních</w:t>
      </w:r>
      <w:proofErr w:type="spellEnd"/>
      <w:r w:rsidRPr="002420CF">
        <w:t xml:space="preserve"> </w:t>
      </w:r>
      <w:proofErr w:type="spellStart"/>
      <w:r w:rsidRPr="002420CF">
        <w:t>onemocnění</w:t>
      </w:r>
      <w:proofErr w:type="spellEnd"/>
      <w:r w:rsidRPr="002420CF">
        <w:t xml:space="preserve"> u </w:t>
      </w:r>
      <w:proofErr w:type="spellStart"/>
      <w:r w:rsidRPr="002420CF">
        <w:t>dětí</w:t>
      </w:r>
      <w:proofErr w:type="spellEnd"/>
    </w:p>
    <w:p w14:paraId="51FB6A44" w14:textId="7D197987" w:rsidR="002420CF" w:rsidRPr="002420CF" w:rsidRDefault="002420CF" w:rsidP="002420CF">
      <w:pPr>
        <w:pStyle w:val="Zkladntext"/>
        <w:spacing w:before="4"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hAnsi="Times New Roman" w:cs="Times New Roman"/>
          <w:sz w:val="22"/>
          <w:szCs w:val="22"/>
        </w:rPr>
        <w:t xml:space="preserve">Jan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Chlumský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>, Tomáš Paul</w:t>
      </w:r>
    </w:p>
    <w:p w14:paraId="352885A6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Podrobné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informace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antidopingových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pravidlech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Směrnici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pro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kontrolu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a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postih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dopingu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ve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sportu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vydal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Antidopingový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výbor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(ADV ČR) s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platností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od 1.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ledna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2022. Tato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směrnice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vychází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ze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Světového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antidopingového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kodexu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stejně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jako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tento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kodex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Standard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výjimky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prochází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cca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šesti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letech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novelizaci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6E9C0E10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tedy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třeba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vždy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vycházet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z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platné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verze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Seznam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látek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metod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novelizuje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každý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rok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73D47711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rámci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pneumologické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péče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zásadní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především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pravidla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podávaní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kortikoidů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β2-agonistů:</w:t>
      </w:r>
    </w:p>
    <w:p w14:paraId="5410732D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ld" w:hAnsi="Times New Roman" w:cs="Times New Roman"/>
          <w:b/>
          <w:bCs/>
          <w:color w:val="000000"/>
        </w:rPr>
      </w:pP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Kortikoidy</w:t>
      </w:r>
      <w:proofErr w:type="spellEnd"/>
    </w:p>
    <w:p w14:paraId="161F640F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glukokortikoidů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rozdílný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postup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závisí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způsobu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podání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látky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lokální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léku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obsahujícího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glukokortikoid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třeba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nic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oznamovat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Lokální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glukokortikoidů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zakázány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pokud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používány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 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rámci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výrobcem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doporučených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dávek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indikací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Za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lokální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považuje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použití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mastí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krémů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očních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ušních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kapek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gramStart"/>
      <w:r w:rsidRPr="002420CF">
        <w:rPr>
          <w:rFonts w:ascii="Times New Roman" w:eastAsia="FedraSerifAPro-Book" w:hAnsi="Times New Roman" w:cs="Times New Roman"/>
          <w:color w:val="000000"/>
        </w:rPr>
        <w:t>a</w:t>
      </w:r>
      <w:proofErr w:type="gram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léků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léčbě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respiračních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obtíží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ovlivní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organismus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celkově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nezbytné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požádat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udělení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terapeutické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výjimky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r w:rsidRPr="002420CF">
        <w:rPr>
          <w:rFonts w:ascii="Times New Roman" w:eastAsia="FedraSerifAPro-Book" w:hAnsi="Times New Roman" w:cs="Times New Roman"/>
          <w:color w:val="000000"/>
        </w:rPr>
        <w:t xml:space="preserve">(viz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níže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Takovou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glukokortikoidu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např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podání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léku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formě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tablet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včetně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např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bukální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gingivální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sublingvální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injekce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případně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rektální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aplikace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4D4E5DB4" w14:textId="77777777" w:rsidR="002420CF" w:rsidRPr="002420CF" w:rsidRDefault="002420CF" w:rsidP="002420CF">
      <w:pPr>
        <w:pStyle w:val="Default"/>
        <w:spacing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eastAsia="FedraSerifAPro-Book" w:hAnsi="Times New Roman" w:cs="Times New Roman"/>
          <w:sz w:val="22"/>
          <w:szCs w:val="22"/>
        </w:rPr>
        <w:t xml:space="preserve">Zakázány jsou tedy například </w:t>
      </w:r>
      <w:proofErr w:type="spellStart"/>
      <w:r w:rsidRPr="002420CF">
        <w:rPr>
          <w:rFonts w:ascii="Times New Roman" w:eastAsia="FedraSerifAPro-Book" w:hAnsi="Times New Roman" w:cs="Times New Roman"/>
          <w:sz w:val="22"/>
          <w:szCs w:val="22"/>
        </w:rPr>
        <w:t>b</w:t>
      </w:r>
      <w:r w:rsidRPr="002420CF">
        <w:rPr>
          <w:rFonts w:ascii="Times New Roman" w:hAnsi="Times New Roman" w:cs="Times New Roman"/>
          <w:sz w:val="22"/>
          <w:szCs w:val="22"/>
        </w:rPr>
        <w:t>eklometazon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betametazon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budesonid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ciclesonid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deflazakort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dexametazon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fluokortolon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flunisolid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flutikason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hydrokortizon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kortizon,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metylprednisolon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mometason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prednizolon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prednison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triamcinolon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acetonid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>, ale ne s omezením pouze na ně.</w:t>
      </w:r>
    </w:p>
    <w:p w14:paraId="7C1403DE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ld" w:hAnsi="Times New Roman" w:cs="Times New Roman"/>
          <w:b/>
          <w:bCs/>
          <w:color w:val="000000"/>
        </w:rPr>
      </w:pPr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β2</w:t>
      </w:r>
      <w:r w:rsidRPr="002420CF">
        <w:rPr>
          <w:rFonts w:ascii="Times New Roman" w:eastAsia="FedraSerifAPro-Book" w:hAnsi="Times New Roman" w:cs="Times New Roman"/>
          <w:color w:val="000000"/>
        </w:rPr>
        <w:t>-</w:t>
      </w:r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agonisté</w:t>
      </w:r>
    </w:p>
    <w:p w14:paraId="26E5515D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Všichni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selektivní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neselektivní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β2-agonisté,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včetně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všech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optických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izomerů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zakázáni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Zahrnují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(ale ne s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omezením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pouze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):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arformoterol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fenoterol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formoterol,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higenamin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indakaterol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levosalbutamol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olodaterol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prokaterol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reproterol, salbutamol, salmeterol,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terbutalin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, tretoquinol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trimetoquinol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) a vilanterol.</w:t>
      </w:r>
    </w:p>
    <w:p w14:paraId="466F1E0C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Clenbuterol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rovněž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zcela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zakázán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svůj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anabolický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efekt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seznamu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látek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skupině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S1 −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anabolické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látky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2FE09438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léčbě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asthma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bronchiale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, EIA, EIB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tělesnou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zátěží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indukované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astma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tělesnou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zátěží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indukovaný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bronchospasmus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), je od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dříve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nezbytné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výjimky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osvobozeno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podávání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případně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kombinaci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glukokortikoidem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):</w:t>
      </w:r>
    </w:p>
    <w:p w14:paraId="0606564C" w14:textId="77777777" w:rsidR="002420CF" w:rsidRPr="002420CF" w:rsidRDefault="002420CF" w:rsidP="002420CF">
      <w:pPr>
        <w:pStyle w:val="Default"/>
        <w:spacing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hAnsi="Times New Roman" w:cs="Times New Roman"/>
          <w:color w:val="51B847"/>
          <w:sz w:val="22"/>
          <w:szCs w:val="22"/>
        </w:rPr>
        <w:t xml:space="preserve">• </w:t>
      </w:r>
      <w:r w:rsidRPr="002420CF">
        <w:rPr>
          <w:rFonts w:ascii="Times New Roman" w:hAnsi="Times New Roman" w:cs="Times New Roman"/>
          <w:sz w:val="22"/>
          <w:szCs w:val="22"/>
        </w:rPr>
        <w:t xml:space="preserve">Inhalační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salbutamol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: maximálně 1600 mikrogramů za 24 hodin v oddělených dávkách, nepřekračujících 600 mikrogramů během 8 hodin po jakékoliv dávce; </w:t>
      </w:r>
    </w:p>
    <w:p w14:paraId="3C294DD1" w14:textId="77777777" w:rsidR="002420CF" w:rsidRPr="002420CF" w:rsidRDefault="002420CF" w:rsidP="002420CF">
      <w:pPr>
        <w:pStyle w:val="Default"/>
        <w:spacing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hAnsi="Times New Roman" w:cs="Times New Roman"/>
          <w:color w:val="51B847"/>
          <w:sz w:val="22"/>
          <w:szCs w:val="22"/>
        </w:rPr>
        <w:t xml:space="preserve">• </w:t>
      </w:r>
      <w:r w:rsidRPr="002420CF">
        <w:rPr>
          <w:rFonts w:ascii="Times New Roman" w:hAnsi="Times New Roman" w:cs="Times New Roman"/>
          <w:sz w:val="22"/>
          <w:szCs w:val="22"/>
        </w:rPr>
        <w:t xml:space="preserve">inhalační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formoterol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: maximální podána dávka 54 mikrogramů za 24 hodin; </w:t>
      </w:r>
    </w:p>
    <w:p w14:paraId="179B2B36" w14:textId="77777777" w:rsidR="002420CF" w:rsidRPr="002420CF" w:rsidRDefault="002420CF" w:rsidP="002420CF">
      <w:pPr>
        <w:pStyle w:val="Default"/>
        <w:spacing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hAnsi="Times New Roman" w:cs="Times New Roman"/>
          <w:color w:val="51B847"/>
          <w:sz w:val="22"/>
          <w:szCs w:val="22"/>
        </w:rPr>
        <w:t xml:space="preserve">• </w:t>
      </w:r>
      <w:r w:rsidRPr="002420CF">
        <w:rPr>
          <w:rFonts w:ascii="Times New Roman" w:hAnsi="Times New Roman" w:cs="Times New Roman"/>
          <w:sz w:val="22"/>
          <w:szCs w:val="22"/>
        </w:rPr>
        <w:t xml:space="preserve">inhalační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salmeterol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: maximálně 200 mikrogramů za 24 hodin; </w:t>
      </w:r>
    </w:p>
    <w:p w14:paraId="36D579C1" w14:textId="77777777" w:rsidR="002420CF" w:rsidRPr="002420CF" w:rsidRDefault="002420CF" w:rsidP="002420CF">
      <w:pPr>
        <w:pStyle w:val="Default"/>
        <w:spacing w:after="240"/>
        <w:ind w:right="850"/>
        <w:rPr>
          <w:rFonts w:ascii="Times New Roman" w:hAnsi="Times New Roman" w:cs="Times New Roman"/>
          <w:sz w:val="22"/>
          <w:szCs w:val="22"/>
        </w:rPr>
      </w:pPr>
      <w:r w:rsidRPr="002420CF">
        <w:rPr>
          <w:rFonts w:ascii="Times New Roman" w:hAnsi="Times New Roman" w:cs="Times New Roman"/>
          <w:color w:val="51B847"/>
          <w:sz w:val="22"/>
          <w:szCs w:val="22"/>
        </w:rPr>
        <w:t xml:space="preserve">• </w:t>
      </w:r>
      <w:r w:rsidRPr="002420CF">
        <w:rPr>
          <w:rFonts w:ascii="Times New Roman" w:hAnsi="Times New Roman" w:cs="Times New Roman"/>
          <w:sz w:val="22"/>
          <w:szCs w:val="22"/>
        </w:rPr>
        <w:t xml:space="preserve">inhalační </w:t>
      </w:r>
      <w:proofErr w:type="spellStart"/>
      <w:r w:rsidRPr="002420CF">
        <w:rPr>
          <w:rFonts w:ascii="Times New Roman" w:hAnsi="Times New Roman" w:cs="Times New Roman"/>
          <w:sz w:val="22"/>
          <w:szCs w:val="22"/>
        </w:rPr>
        <w:t>vilanterol</w:t>
      </w:r>
      <w:proofErr w:type="spellEnd"/>
      <w:r w:rsidRPr="002420CF">
        <w:rPr>
          <w:rFonts w:ascii="Times New Roman" w:hAnsi="Times New Roman" w:cs="Times New Roman"/>
          <w:sz w:val="22"/>
          <w:szCs w:val="22"/>
        </w:rPr>
        <w:t xml:space="preserve">: maximálně 25 mikrogramů za 24 hodin. </w:t>
      </w:r>
    </w:p>
    <w:p w14:paraId="66508872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Přítomnost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salbutamolu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moči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 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koncentraci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vyšší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než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1000 ng/ml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přítomnost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formoterolu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r w:rsidRPr="002420CF">
        <w:rPr>
          <w:rFonts w:ascii="Times New Roman" w:eastAsia="FedraSerifAPro-Book" w:hAnsi="Times New Roman" w:cs="Times New Roman"/>
          <w:color w:val="000000"/>
        </w:rPr>
        <w:lastRenderedPageBreak/>
        <w:t xml:space="preserve">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moči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koncentraci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vyšší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než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40 ng/ml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považována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za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pozitivní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nález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pokud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sportovec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neprokáže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kontrolovanou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farmakokinetickou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studií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abnormální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výsledek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byl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způsoben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užíváním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dávky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nižší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než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výše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maximální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dávka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2AA56CAC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Pokud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nelze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použít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jeden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ze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čtyř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výše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β2-agonistů (salbutamol, salmeterol, vilanterol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formoterol),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použití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terbutalinu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fenoterolu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dalších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β2-agonistů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vázáno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udělení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výjimky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2746C4DF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tomto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případě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nutné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k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vyplněnému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formuláři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žádosti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udělení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výjimky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hyperlink r:id="rId5" w:history="1">
        <w:r w:rsidRPr="002420CF">
          <w:rPr>
            <w:rStyle w:val="Hypertextovodkaz"/>
            <w:rFonts w:ascii="Times New Roman" w:eastAsia="FedraSerifAPro-Book" w:hAnsi="Times New Roman" w:cs="Times New Roman"/>
          </w:rPr>
          <w:t>https://www.antidoping.cz/cs/granting_the_tues</w:t>
        </w:r>
      </w:hyperlink>
      <w:r w:rsidRPr="002420CF">
        <w:rPr>
          <w:rFonts w:ascii="Times New Roman" w:eastAsia="FedraSerifAPro-Book" w:hAnsi="Times New Roman" w:cs="Times New Roman"/>
          <w:color w:val="000000"/>
        </w:rPr>
        <w:t xml:space="preserve">)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přiložit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:</w:t>
      </w:r>
    </w:p>
    <w:p w14:paraId="60FB764D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925288"/>
        </w:rPr>
        <w:t xml:space="preserve">•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lékařskou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zprávu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průběhu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léčbě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onemocnění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,</w:t>
      </w:r>
    </w:p>
    <w:p w14:paraId="29F65944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925288"/>
        </w:rPr>
        <w:t xml:space="preserve">•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kopii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funkčního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vyšetření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plic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prokazuje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poruchu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funkce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průdušek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její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ovlivněni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β2-agonistou,</w:t>
      </w:r>
    </w:p>
    <w:p w14:paraId="6ACB51C1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925288"/>
        </w:rPr>
        <w:t xml:space="preserve">•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klinickou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studii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prokazuje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terapii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vhodnější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účinnější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)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β2-agonista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kromě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salbutamolu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salmeterolu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formoterolu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vilanterolu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),</w:t>
      </w:r>
    </w:p>
    <w:p w14:paraId="150C40F8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925288"/>
        </w:rPr>
        <w:t xml:space="preserve">• </w:t>
      </w:r>
      <w:r w:rsidRPr="002420CF">
        <w:rPr>
          <w:rFonts w:ascii="Times New Roman" w:eastAsia="FedraSerifAPro-Book" w:hAnsi="Times New Roman" w:cs="Times New Roman"/>
          <w:color w:val="000000"/>
        </w:rPr>
        <w:t xml:space="preserve">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třeba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připojit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stručný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výstižný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anglický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překlad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cca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1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strana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),</w:t>
      </w:r>
    </w:p>
    <w:p w14:paraId="12251448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925288"/>
        </w:rPr>
        <w:t xml:space="preserve">•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žádost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vyplňuje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primárně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sportovec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jeho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zákonný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zástupce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7BA04410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Podrobněji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stránkách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hyperlink r:id="rId6" w:history="1">
        <w:r w:rsidRPr="002420CF">
          <w:rPr>
            <w:rStyle w:val="Hypertextovodkaz"/>
            <w:rFonts w:ascii="Times New Roman" w:eastAsia="FedraSerifAPro-Book" w:hAnsi="Times New Roman" w:cs="Times New Roman"/>
          </w:rPr>
          <w:t>http://www.antidoping.cz</w:t>
        </w:r>
      </w:hyperlink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hyperlink r:id="rId7" w:history="1">
        <w:r w:rsidRPr="002420CF">
          <w:rPr>
            <w:rStyle w:val="Hypertextovodkaz"/>
            <w:rFonts w:ascii="Times New Roman" w:eastAsia="FedraSerifAPro-Book" w:hAnsi="Times New Roman" w:cs="Times New Roman"/>
          </w:rPr>
          <w:t>https://www.antidoping.cz/cs/granting_the_tues</w:t>
        </w:r>
      </w:hyperlink>
    </w:p>
    <w:p w14:paraId="4E60064F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</w:p>
    <w:p w14:paraId="54DEDF23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ld" w:hAnsi="Times New Roman" w:cs="Times New Roman"/>
          <w:b/>
          <w:bCs/>
          <w:color w:val="000000"/>
        </w:rPr>
      </w:pP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Uplatňování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pravidel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antidopingu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u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nezletilých</w:t>
      </w:r>
      <w:proofErr w:type="spellEnd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 xml:space="preserve"> </w:t>
      </w:r>
      <w:proofErr w:type="spellStart"/>
      <w:r w:rsidRPr="002420CF">
        <w:rPr>
          <w:rFonts w:ascii="Times New Roman" w:eastAsia="FedraSerifAPro-Bold" w:hAnsi="Times New Roman" w:cs="Times New Roman"/>
          <w:b/>
          <w:bCs/>
          <w:color w:val="000000"/>
        </w:rPr>
        <w:t>sportovců</w:t>
      </w:r>
      <w:proofErr w:type="spellEnd"/>
    </w:p>
    <w:p w14:paraId="052324C6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Světový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antidopingový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kodex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Směrnice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kontrolu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postih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dopingu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vztahují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nezletilé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splňující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definici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Sportovec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národní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úrovně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3046785A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To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jsou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kteří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účastní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národní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úrovni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jak je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definováno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každou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národní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antidopingovou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organizací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shodě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Mezinárodním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standardem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testování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vyšetřování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1A83E5EC" w14:textId="77777777" w:rsidR="002420CF" w:rsidRPr="002420CF" w:rsidRDefault="002420CF" w:rsidP="002420CF">
      <w:pPr>
        <w:pStyle w:val="Nadpis5"/>
        <w:shd w:val="clear" w:color="auto" w:fill="FFFFFF"/>
        <w:spacing w:before="0" w:after="240"/>
        <w:ind w:left="0" w:right="850" w:firstLine="0"/>
        <w:jc w:val="both"/>
        <w:textAlignment w:val="baseline"/>
        <w:rPr>
          <w:rFonts w:ascii="Times New Roman" w:eastAsia="FedraSerifAPro-Book" w:hAnsi="Times New Roman" w:cs="Times New Roman"/>
          <w:color w:val="000000"/>
          <w:sz w:val="22"/>
          <w:szCs w:val="22"/>
        </w:rPr>
      </w:pP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Sportovcem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národní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úrovně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se v ČR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rozumí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sportovci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nižších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výkonnostních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věkových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kategorií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– viz </w:t>
      </w:r>
      <w:hyperlink r:id="rId8" w:history="1">
        <w:r w:rsidRPr="002420CF">
          <w:rPr>
            <w:rStyle w:val="Hypertextovodkaz"/>
            <w:rFonts w:ascii="Times New Roman" w:eastAsia="FedraSerifAPro-Book" w:hAnsi="Times New Roman" w:cs="Times New Roman"/>
            <w:sz w:val="22"/>
            <w:szCs w:val="22"/>
          </w:rPr>
          <w:t>https://www.antidoping.cz/cs/granting_the_tues</w:t>
        </w:r>
      </w:hyperlink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-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při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nejasnostech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je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nezbytné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>kontaktovat</w:t>
      </w:r>
      <w:proofErr w:type="spellEnd"/>
      <w:r w:rsidRPr="002420CF">
        <w:rPr>
          <w:rFonts w:ascii="Times New Roman" w:eastAsia="FedraSerifAPro-Book" w:hAnsi="Times New Roman" w:cs="Times New Roman"/>
          <w:b w:val="0"/>
          <w:bCs w:val="0"/>
          <w:color w:val="000000"/>
          <w:sz w:val="22"/>
          <w:szCs w:val="22"/>
        </w:rPr>
        <w:t xml:space="preserve"> ADV ČR (</w:t>
      </w:r>
      <w:hyperlink r:id="rId9" w:history="1">
        <w:r w:rsidRPr="002420CF">
          <w:rPr>
            <w:rStyle w:val="Hypertextovodkaz"/>
            <w:rFonts w:ascii="Times New Roman" w:hAnsi="Times New Roman" w:cs="Times New Roman"/>
            <w:color w:val="F4473A"/>
            <w:sz w:val="22"/>
            <w:szCs w:val="22"/>
            <w:bdr w:val="none" w:sz="0" w:space="0" w:color="auto" w:frame="1"/>
          </w:rPr>
          <w:t>info@antidoping.cz</w:t>
        </w:r>
      </w:hyperlink>
      <w:r w:rsidRPr="002420CF">
        <w:rPr>
          <w:rStyle w:val="Siln"/>
          <w:rFonts w:ascii="Times New Roman" w:hAnsi="Times New Roman" w:cs="Times New Roman"/>
          <w:color w:val="606060"/>
          <w:sz w:val="22"/>
          <w:szCs w:val="22"/>
          <w:bdr w:val="none" w:sz="0" w:space="0" w:color="auto" w:frame="1"/>
        </w:rPr>
        <w:t>)</w:t>
      </w:r>
    </w:p>
    <w:p w14:paraId="2A1B6A04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Pokud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se ADV ČR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rozhodne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odebrat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vzorek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osoby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která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sportovcem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mezinárodní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úrovně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sportovcem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národní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úrovně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pokud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tato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osoba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používá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látku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zakázanou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metodu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terapeutické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účely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ADV ČR ji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může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povolit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aby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požádala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TV se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zpětnou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platností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78BEE4F4" w14:textId="77777777" w:rsidR="002420CF" w:rsidRPr="002420CF" w:rsidRDefault="002420CF" w:rsidP="002420CF">
      <w:pPr>
        <w:adjustRightInd w:val="0"/>
        <w:spacing w:after="240"/>
        <w:ind w:right="850"/>
        <w:rPr>
          <w:rFonts w:ascii="Times New Roman" w:eastAsia="FedraSerifAPro-Book" w:hAnsi="Times New Roman" w:cs="Times New Roman"/>
          <w:color w:val="000000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Z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uvedeného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vyplývá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sportovci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žákovských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dorosteneckých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kadetských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pozor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–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různá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terminologie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v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jednotlivých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sportech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!)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kategorií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předem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uznanou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terapeutickou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výjimku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mít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nemusí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musí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zažádat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až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případném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pozitivním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nálezu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.</w:t>
      </w:r>
    </w:p>
    <w:p w14:paraId="41D61193" w14:textId="19D0D1CA" w:rsidR="00CA03C0" w:rsidRPr="002420CF" w:rsidRDefault="002420CF" w:rsidP="002420CF">
      <w:pPr>
        <w:adjustRightInd w:val="0"/>
        <w:spacing w:after="240"/>
        <w:ind w:right="850"/>
        <w:rPr>
          <w:rFonts w:ascii="Times New Roman" w:hAnsi="Times New Roman" w:cs="Times New Roman"/>
        </w:rPr>
      </w:pPr>
      <w:r w:rsidRPr="002420CF">
        <w:rPr>
          <w:rFonts w:ascii="Times New Roman" w:eastAsia="FedraSerifAPro-Book" w:hAnsi="Times New Roman" w:cs="Times New Roman"/>
          <w:color w:val="000000"/>
        </w:rPr>
        <w:t xml:space="preserve">To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platí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pro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případy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kdy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možno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léčit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plicní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obstrukce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pouze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inhalačními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kortikoidy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nebo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inhalačními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preparáty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salbutamolu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salmeterolu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vilanterolu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a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formoterolu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(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nutno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doložit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podle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instrukcí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uvedených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výše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,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např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 xml:space="preserve">. </w:t>
      </w:r>
      <w:proofErr w:type="spellStart"/>
      <w:r w:rsidRPr="002420CF">
        <w:rPr>
          <w:rFonts w:ascii="Times New Roman" w:eastAsia="FedraSerifAPro-Book" w:hAnsi="Times New Roman" w:cs="Times New Roman"/>
          <w:color w:val="000000"/>
        </w:rPr>
        <w:t>fenoterol</w:t>
      </w:r>
      <w:proofErr w:type="spellEnd"/>
      <w:r w:rsidRPr="002420CF">
        <w:rPr>
          <w:rFonts w:ascii="Times New Roman" w:eastAsia="FedraSerifAPro-Book" w:hAnsi="Times New Roman" w:cs="Times New Roman"/>
          <w:color w:val="000000"/>
        </w:rPr>
        <w:t>).</w:t>
      </w:r>
    </w:p>
    <w:sectPr w:rsidR="00CA03C0" w:rsidRPr="0024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dra Serif A Pro Book">
    <w:altName w:val="Sitka Small"/>
    <w:panose1 w:val="00000000000000000000"/>
    <w:charset w:val="00"/>
    <w:family w:val="modern"/>
    <w:notTrueType/>
    <w:pitch w:val="variable"/>
    <w:sig w:usb0="00000001" w:usb1="5000E0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draSerifAPro-Book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FedraSerifAPro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222"/>
    <w:multiLevelType w:val="hybridMultilevel"/>
    <w:tmpl w:val="E57C60EE"/>
    <w:lvl w:ilvl="0" w:tplc="EF38F1B2">
      <w:numFmt w:val="bullet"/>
      <w:lvlText w:val="•"/>
      <w:lvlJc w:val="left"/>
      <w:pPr>
        <w:ind w:left="1320" w:hanging="284"/>
      </w:pPr>
      <w:rPr>
        <w:rFonts w:ascii="Fedra Serif A Pro Book" w:eastAsia="Fedra Serif A Pro Book" w:hAnsi="Fedra Serif A Pro Book" w:cs="Fedra Serif A Pro Book" w:hint="default"/>
        <w:b w:val="0"/>
        <w:bCs w:val="0"/>
        <w:i w:val="0"/>
        <w:iCs w:val="0"/>
        <w:color w:val="9F6C77"/>
        <w:w w:val="100"/>
        <w:position w:val="-3"/>
        <w:sz w:val="28"/>
        <w:szCs w:val="28"/>
      </w:rPr>
    </w:lvl>
    <w:lvl w:ilvl="1" w:tplc="BC00C534">
      <w:numFmt w:val="bullet"/>
      <w:lvlText w:val="•"/>
      <w:lvlJc w:val="left"/>
      <w:pPr>
        <w:ind w:left="2063" w:hanging="284"/>
      </w:pPr>
      <w:rPr>
        <w:rFonts w:hint="default"/>
      </w:rPr>
    </w:lvl>
    <w:lvl w:ilvl="2" w:tplc="F8E2B07E">
      <w:numFmt w:val="bullet"/>
      <w:lvlText w:val="•"/>
      <w:lvlJc w:val="left"/>
      <w:pPr>
        <w:ind w:left="2806" w:hanging="284"/>
      </w:pPr>
      <w:rPr>
        <w:rFonts w:hint="default"/>
      </w:rPr>
    </w:lvl>
    <w:lvl w:ilvl="3" w:tplc="4D32D58A">
      <w:numFmt w:val="bullet"/>
      <w:lvlText w:val="•"/>
      <w:lvlJc w:val="left"/>
      <w:pPr>
        <w:ind w:left="3549" w:hanging="284"/>
      </w:pPr>
      <w:rPr>
        <w:rFonts w:hint="default"/>
      </w:rPr>
    </w:lvl>
    <w:lvl w:ilvl="4" w:tplc="A15242BC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94CAAE6C">
      <w:numFmt w:val="bullet"/>
      <w:lvlText w:val="•"/>
      <w:lvlJc w:val="left"/>
      <w:pPr>
        <w:ind w:left="5035" w:hanging="284"/>
      </w:pPr>
      <w:rPr>
        <w:rFonts w:hint="default"/>
      </w:rPr>
    </w:lvl>
    <w:lvl w:ilvl="6" w:tplc="E8AA43CA">
      <w:numFmt w:val="bullet"/>
      <w:lvlText w:val="•"/>
      <w:lvlJc w:val="left"/>
      <w:pPr>
        <w:ind w:left="5778" w:hanging="284"/>
      </w:pPr>
      <w:rPr>
        <w:rFonts w:hint="default"/>
      </w:rPr>
    </w:lvl>
    <w:lvl w:ilvl="7" w:tplc="15DA8DBE">
      <w:numFmt w:val="bullet"/>
      <w:lvlText w:val="•"/>
      <w:lvlJc w:val="left"/>
      <w:pPr>
        <w:ind w:left="6521" w:hanging="284"/>
      </w:pPr>
      <w:rPr>
        <w:rFonts w:hint="default"/>
      </w:rPr>
    </w:lvl>
    <w:lvl w:ilvl="8" w:tplc="15FCA416">
      <w:numFmt w:val="bullet"/>
      <w:lvlText w:val="•"/>
      <w:lvlJc w:val="left"/>
      <w:pPr>
        <w:ind w:left="7264" w:hanging="284"/>
      </w:pPr>
      <w:rPr>
        <w:rFonts w:hint="default"/>
      </w:rPr>
    </w:lvl>
  </w:abstractNum>
  <w:abstractNum w:abstractNumId="1" w15:restartNumberingAfterBreak="0">
    <w:nsid w:val="5EBC26BF"/>
    <w:multiLevelType w:val="multilevel"/>
    <w:tmpl w:val="3148E8C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color w:val="9F6C77"/>
        <w:w w:val="105"/>
      </w:rPr>
    </w:lvl>
    <w:lvl w:ilvl="1">
      <w:start w:val="10"/>
      <w:numFmt w:val="decimal"/>
      <w:lvlText w:val="%1.%2"/>
      <w:lvlJc w:val="left"/>
      <w:pPr>
        <w:ind w:left="1108" w:hanging="540"/>
      </w:pPr>
      <w:rPr>
        <w:rFonts w:hint="default"/>
        <w:color w:val="9F6C77"/>
        <w:w w:val="105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9F6C77"/>
        <w:w w:val="105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9F6C77"/>
        <w:w w:val="105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9F6C77"/>
        <w:w w:val="105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9F6C77"/>
        <w:w w:val="105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9F6C77"/>
        <w:w w:val="105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9F6C77"/>
        <w:w w:val="105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9F6C77"/>
        <w:w w:val="105"/>
      </w:rPr>
    </w:lvl>
  </w:abstractNum>
  <w:num w:numId="1" w16cid:durableId="99883216">
    <w:abstractNumId w:val="0"/>
  </w:num>
  <w:num w:numId="2" w16cid:durableId="62712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CF"/>
    <w:rsid w:val="002420CF"/>
    <w:rsid w:val="006A2C9F"/>
    <w:rsid w:val="00903C22"/>
    <w:rsid w:val="00C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91C"/>
  <w15:chartTrackingRefBased/>
  <w15:docId w15:val="{66196D5A-7436-406E-B7DB-308C24C2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0CF"/>
    <w:pPr>
      <w:widowControl w:val="0"/>
      <w:autoSpaceDE w:val="0"/>
      <w:autoSpaceDN w:val="0"/>
      <w:spacing w:after="0" w:line="240" w:lineRule="auto"/>
    </w:pPr>
    <w:rPr>
      <w:rFonts w:ascii="Fedra Serif A Pro Book" w:eastAsia="Fedra Serif A Pro Book" w:hAnsi="Fedra Serif A Pro Book" w:cs="Fedra Serif A Pro Book"/>
      <w:kern w:val="0"/>
      <w:lang w:val="en-U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9"/>
    <w:unhideWhenUsed/>
    <w:qFormat/>
    <w:rsid w:val="002420CF"/>
    <w:pPr>
      <w:spacing w:before="111"/>
      <w:ind w:left="1355" w:hanging="319"/>
      <w:outlineLvl w:val="4"/>
    </w:pPr>
    <w:rPr>
      <w:rFonts w:ascii="Calibri" w:eastAsia="Calibri" w:hAnsi="Calibri" w:cs="Calibri"/>
      <w:b/>
      <w:bCs/>
      <w:sz w:val="24"/>
      <w:szCs w:val="24"/>
    </w:rPr>
  </w:style>
  <w:style w:type="paragraph" w:styleId="Nadpis8">
    <w:name w:val="heading 8"/>
    <w:basedOn w:val="Normln"/>
    <w:link w:val="Nadpis8Char"/>
    <w:uiPriority w:val="1"/>
    <w:qFormat/>
    <w:rsid w:val="002420CF"/>
    <w:pPr>
      <w:spacing w:line="243" w:lineRule="exact"/>
      <w:ind w:left="1620" w:hanging="584"/>
      <w:outlineLvl w:val="7"/>
    </w:pPr>
    <w:rPr>
      <w:rFonts w:ascii="Calibri" w:eastAsia="Calibri" w:hAnsi="Calibri" w:cs="Calibri"/>
      <w:b/>
      <w:bCs/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2420CF"/>
    <w:pPr>
      <w:spacing w:before="115"/>
      <w:ind w:left="1037"/>
      <w:outlineLvl w:val="8"/>
    </w:pPr>
    <w:rPr>
      <w:rFonts w:ascii="Trebuchet MS" w:eastAsia="Trebuchet MS" w:hAnsi="Trebuchet MS" w:cs="Trebuchet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420CF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Nadpis8Char">
    <w:name w:val="Nadpis 8 Char"/>
    <w:basedOn w:val="Standardnpsmoodstavce"/>
    <w:link w:val="Nadpis8"/>
    <w:uiPriority w:val="1"/>
    <w:rsid w:val="002420CF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character" w:customStyle="1" w:styleId="Nadpis9Char">
    <w:name w:val="Nadpis 9 Char"/>
    <w:basedOn w:val="Standardnpsmoodstavce"/>
    <w:link w:val="Nadpis9"/>
    <w:uiPriority w:val="1"/>
    <w:rsid w:val="002420CF"/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2420CF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20CF"/>
    <w:rPr>
      <w:rFonts w:ascii="Fedra Serif A Pro Book" w:eastAsia="Fedra Serif A Pro Book" w:hAnsi="Fedra Serif A Pro Book" w:cs="Fedra Serif A Pro Book"/>
      <w:kern w:val="0"/>
      <w:sz w:val="18"/>
      <w:szCs w:val="18"/>
      <w:lang w:val="en-US"/>
      <w14:ligatures w14:val="none"/>
    </w:rPr>
  </w:style>
  <w:style w:type="paragraph" w:styleId="Odstavecseseznamem">
    <w:name w:val="List Paragraph"/>
    <w:basedOn w:val="Normln"/>
    <w:uiPriority w:val="1"/>
    <w:qFormat/>
    <w:rsid w:val="002420CF"/>
    <w:pPr>
      <w:ind w:left="1320" w:hanging="284"/>
    </w:pPr>
  </w:style>
  <w:style w:type="character" w:styleId="Hypertextovodkaz">
    <w:name w:val="Hyperlink"/>
    <w:basedOn w:val="Standardnpsmoodstavce"/>
    <w:uiPriority w:val="99"/>
    <w:unhideWhenUsed/>
    <w:rsid w:val="002420CF"/>
    <w:rPr>
      <w:color w:val="0563C1" w:themeColor="hyperlink"/>
      <w:u w:val="single"/>
    </w:rPr>
  </w:style>
  <w:style w:type="paragraph" w:customStyle="1" w:styleId="Default">
    <w:name w:val="Default"/>
    <w:rsid w:val="002420C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character" w:styleId="Siln">
    <w:name w:val="Strong"/>
    <w:basedOn w:val="Standardnpsmoodstavce"/>
    <w:uiPriority w:val="22"/>
    <w:qFormat/>
    <w:rsid w:val="002420C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420C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Tuková Jana, MUDr. Ph.D.</dc:creator>
  <cp:keywords/>
  <dc:description/>
  <cp:lastModifiedBy>Tuková Jana, MUDr. Ph.D.</cp:lastModifiedBy>
  <cp:revision>2</cp:revision>
  <dcterms:created xsi:type="dcterms:W3CDTF">2023-09-07T20:45:00Z</dcterms:created>
  <dcterms:modified xsi:type="dcterms:W3CDTF">2023-09-07T20:45:00Z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32614fe9-c999-4211-8065-6425d7eb4ac6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2023-09-02T21:35:09Z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9b1e41a7-7a41-494a-a516-da9a9181af1f</vt:lpwstr>
  </property>
  <property fmtid="{D5CDD505-2E9C-101B-9397-08002B2CF9AE}" pid="9" name="MSIP_Label_2063cd7f-2d21-486a-9f29-9c1683fdd175_ContentBits">
    <vt:lpwstr>0</vt:lpwstr>
  </property>
</Properties>
</file>